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4F" w:rsidRPr="00C21A91" w:rsidRDefault="006D2C4F" w:rsidP="006D2C4F">
      <w:pPr>
        <w:ind w:firstLine="851"/>
        <w:rPr>
          <w:szCs w:val="24"/>
        </w:rPr>
      </w:pPr>
      <w:r>
        <w:rPr>
          <w:szCs w:val="24"/>
        </w:rPr>
        <w:t xml:space="preserve">   </w:t>
      </w:r>
      <w:r>
        <w:rPr>
          <w:noProof/>
          <w:szCs w:val="24"/>
        </w:rPr>
        <w:drawing>
          <wp:inline distT="0" distB="0" distL="0" distR="0" wp14:anchorId="7BBC1906" wp14:editId="7A18EDAB">
            <wp:extent cx="540385" cy="70739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0385" cy="707390"/>
                    </a:xfrm>
                    <a:prstGeom prst="rect">
                      <a:avLst/>
                    </a:prstGeom>
                    <a:noFill/>
                    <a:ln w="9525">
                      <a:noFill/>
                      <a:miter lim="800000"/>
                      <a:headEnd/>
                      <a:tailEnd/>
                    </a:ln>
                  </pic:spPr>
                </pic:pic>
              </a:graphicData>
            </a:graphic>
          </wp:inline>
        </w:drawing>
      </w:r>
    </w:p>
    <w:p w:rsidR="006D2C4F" w:rsidRPr="00C21A91" w:rsidRDefault="006D2C4F" w:rsidP="006D2C4F">
      <w:pPr>
        <w:rPr>
          <w:rFonts w:ascii="CRO_Century_Schoolbk-Normal" w:hAnsi="CRO_Century_Schoolbk-Normal"/>
          <w:szCs w:val="24"/>
        </w:rPr>
      </w:pPr>
      <w:r w:rsidRPr="00C21A91">
        <w:rPr>
          <w:szCs w:val="24"/>
        </w:rPr>
        <w:t xml:space="preserve"> </w:t>
      </w:r>
      <w:r w:rsidRPr="00C21A91">
        <w:rPr>
          <w:rFonts w:ascii="CRO_Century_Schoolbk-Normal" w:hAnsi="CRO_Century_Schoolbk-Normal"/>
          <w:szCs w:val="24"/>
        </w:rPr>
        <w:t>REPUBLIKA HRVATSKA</w:t>
      </w:r>
    </w:p>
    <w:p w:rsidR="006D2C4F" w:rsidRDefault="006D2C4F" w:rsidP="006D2C4F">
      <w:pPr>
        <w:rPr>
          <w:szCs w:val="24"/>
        </w:rPr>
      </w:pPr>
      <w:r w:rsidRPr="00C21A91">
        <w:rPr>
          <w:szCs w:val="24"/>
        </w:rPr>
        <w:t xml:space="preserve"> VARAŽDINSKA ŽUPANIJA</w:t>
      </w:r>
    </w:p>
    <w:p w:rsidR="006D2C4F" w:rsidRPr="00196E10" w:rsidRDefault="006D2C4F" w:rsidP="006D2C4F">
      <w:pPr>
        <w:rPr>
          <w:b/>
          <w:szCs w:val="24"/>
        </w:rPr>
      </w:pPr>
      <w:r w:rsidRPr="00196E10">
        <w:rPr>
          <w:b/>
          <w:szCs w:val="24"/>
        </w:rPr>
        <w:t>Po</w:t>
      </w:r>
      <w:r>
        <w:rPr>
          <w:b/>
          <w:szCs w:val="24"/>
        </w:rPr>
        <w:t>vjerenstvo za provedbu oglasa</w:t>
      </w:r>
    </w:p>
    <w:p w:rsidR="006D2C4F" w:rsidRPr="000640BA" w:rsidRDefault="000640BA" w:rsidP="006D2C4F">
      <w:pPr>
        <w:rPr>
          <w:szCs w:val="24"/>
        </w:rPr>
      </w:pPr>
      <w:r w:rsidRPr="000640BA">
        <w:rPr>
          <w:szCs w:val="24"/>
        </w:rPr>
        <w:t>Varaždin, 29. prosinca 2021</w:t>
      </w:r>
      <w:r w:rsidR="006D2C4F" w:rsidRPr="000640BA">
        <w:rPr>
          <w:szCs w:val="24"/>
        </w:rPr>
        <w:t>.g.</w:t>
      </w:r>
    </w:p>
    <w:p w:rsidR="006D2C4F" w:rsidRDefault="006D2C4F" w:rsidP="006D2C4F">
      <w:pPr>
        <w:jc w:val="both"/>
        <w:rPr>
          <w:b/>
          <w:szCs w:val="24"/>
        </w:rPr>
      </w:pPr>
      <w:r>
        <w:rPr>
          <w:b/>
          <w:szCs w:val="24"/>
        </w:rPr>
        <w:tab/>
      </w:r>
    </w:p>
    <w:p w:rsidR="006D2C4F" w:rsidRPr="00183749" w:rsidRDefault="006D2C4F" w:rsidP="006D2C4F">
      <w:pPr>
        <w:ind w:left="142"/>
        <w:jc w:val="both"/>
        <w:rPr>
          <w:szCs w:val="24"/>
        </w:rPr>
      </w:pPr>
      <w:r>
        <w:rPr>
          <w:szCs w:val="24"/>
        </w:rPr>
        <w:tab/>
      </w:r>
      <w:r w:rsidR="000640BA" w:rsidRPr="000640BA">
        <w:rPr>
          <w:szCs w:val="24"/>
        </w:rPr>
        <w:t>Na web stranici</w:t>
      </w:r>
      <w:r w:rsidRPr="000640BA">
        <w:rPr>
          <w:szCs w:val="24"/>
        </w:rPr>
        <w:t xml:space="preserve"> Hrvatskog zavoda za zapošljav</w:t>
      </w:r>
      <w:r w:rsidR="000640BA" w:rsidRPr="000640BA">
        <w:rPr>
          <w:szCs w:val="24"/>
        </w:rPr>
        <w:t>anje</w:t>
      </w:r>
      <w:r w:rsidRPr="000640BA">
        <w:rPr>
          <w:szCs w:val="24"/>
        </w:rPr>
        <w:t xml:space="preserve"> i web stranici Varaždinske županije, dana </w:t>
      </w:r>
      <w:r w:rsidR="000640BA" w:rsidRPr="000640BA">
        <w:rPr>
          <w:szCs w:val="24"/>
        </w:rPr>
        <w:t>29. prosinca 2021</w:t>
      </w:r>
      <w:r w:rsidRPr="000640BA">
        <w:rPr>
          <w:szCs w:val="24"/>
        </w:rPr>
        <w:t xml:space="preserve">. godine objavljen </w:t>
      </w:r>
      <w:r>
        <w:rPr>
          <w:szCs w:val="24"/>
        </w:rPr>
        <w:t>je oglas za prijam u službu u Upravni</w:t>
      </w:r>
      <w:r w:rsidRPr="009410E1">
        <w:rPr>
          <w:szCs w:val="24"/>
        </w:rPr>
        <w:t xml:space="preserve"> o</w:t>
      </w:r>
      <w:r>
        <w:rPr>
          <w:szCs w:val="24"/>
        </w:rPr>
        <w:t>djel za gospodarstvo i europske poslove</w:t>
      </w:r>
      <w:r w:rsidRPr="009410E1">
        <w:rPr>
          <w:szCs w:val="24"/>
        </w:rPr>
        <w:t xml:space="preserve"> Varaždinske župan</w:t>
      </w:r>
      <w:r>
        <w:rPr>
          <w:szCs w:val="24"/>
        </w:rPr>
        <w:t>ije, na radno mjesto viši stručni suradnik za regionalni razvoj i europske poslove - 1 izvršitelj/</w:t>
      </w:r>
      <w:proofErr w:type="spellStart"/>
      <w:r>
        <w:rPr>
          <w:szCs w:val="24"/>
        </w:rPr>
        <w:t>ica</w:t>
      </w:r>
      <w:proofErr w:type="spellEnd"/>
      <w:r>
        <w:rPr>
          <w:szCs w:val="24"/>
        </w:rPr>
        <w:t xml:space="preserve"> </w:t>
      </w:r>
    </w:p>
    <w:p w:rsidR="006D2C4F" w:rsidRPr="004A1850" w:rsidRDefault="006D2C4F" w:rsidP="006D2C4F">
      <w:pPr>
        <w:rPr>
          <w:szCs w:val="24"/>
        </w:rPr>
      </w:pPr>
    </w:p>
    <w:p w:rsidR="006D2C4F" w:rsidRDefault="006D2C4F" w:rsidP="006D2C4F">
      <w:pPr>
        <w:rPr>
          <w:b/>
          <w:sz w:val="28"/>
          <w:szCs w:val="28"/>
        </w:rPr>
      </w:pPr>
      <w:r w:rsidRPr="00014280">
        <w:rPr>
          <w:b/>
          <w:sz w:val="28"/>
          <w:szCs w:val="28"/>
        </w:rPr>
        <w:t xml:space="preserve">UPUTE I OBAVIJESTI KANDIDATIMA </w:t>
      </w:r>
    </w:p>
    <w:p w:rsidR="006D2C4F" w:rsidRPr="00014280" w:rsidRDefault="006D2C4F" w:rsidP="006D2C4F">
      <w:pPr>
        <w:rPr>
          <w:szCs w:val="24"/>
        </w:rPr>
      </w:pPr>
    </w:p>
    <w:p w:rsidR="006D2C4F" w:rsidRDefault="006D2C4F" w:rsidP="006D2C4F">
      <w:pPr>
        <w:rPr>
          <w:b/>
          <w:szCs w:val="24"/>
          <w:u w:val="single"/>
        </w:rPr>
      </w:pPr>
      <w:r w:rsidRPr="00C10519">
        <w:rPr>
          <w:b/>
          <w:szCs w:val="24"/>
          <w:u w:val="single"/>
        </w:rPr>
        <w:t>1.OPIS POSLOVA RADNOG MJEST</w:t>
      </w:r>
      <w:r>
        <w:rPr>
          <w:b/>
          <w:szCs w:val="24"/>
          <w:u w:val="single"/>
        </w:rPr>
        <w:t>A VIŠI STRUČNI SURADNIK ZA REGIONALNI RAZVOJ I EUROPSKE POSLOVE</w:t>
      </w:r>
    </w:p>
    <w:p w:rsidR="006D2C4F" w:rsidRDefault="006D2C4F" w:rsidP="006D2C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D2C4F" w:rsidRPr="0020583C" w:rsidTr="00DC4C11">
        <w:trPr>
          <w:trHeight w:val="567"/>
        </w:trPr>
        <w:tc>
          <w:tcPr>
            <w:tcW w:w="9288" w:type="dxa"/>
            <w:hideMark/>
          </w:tcPr>
          <w:p w:rsidR="006D2C4F" w:rsidRPr="0020583C" w:rsidRDefault="006D2C4F" w:rsidP="00DC4C11">
            <w:r w:rsidRPr="0020583C">
              <w:t xml:space="preserve">Zadatak 1:                                                                                              </w:t>
            </w:r>
            <w:r>
              <w:t xml:space="preserve">                               4</w:t>
            </w:r>
            <w:r w:rsidRPr="0020583C">
              <w:t>0%</w:t>
            </w:r>
          </w:p>
          <w:p w:rsidR="006D2C4F" w:rsidRDefault="006D2C4F" w:rsidP="006D2C4F">
            <w:pPr>
              <w:numPr>
                <w:ilvl w:val="0"/>
                <w:numId w:val="2"/>
              </w:numPr>
              <w:jc w:val="both"/>
            </w:pPr>
            <w:r>
              <w:t xml:space="preserve">poslovi oko razvoja regionalnog partnerstva u okviru europskih pitanja </w:t>
            </w:r>
          </w:p>
          <w:p w:rsidR="006D2C4F" w:rsidRDefault="006D2C4F" w:rsidP="006D2C4F">
            <w:pPr>
              <w:numPr>
                <w:ilvl w:val="0"/>
                <w:numId w:val="3"/>
              </w:numPr>
              <w:ind w:left="1418" w:hanging="284"/>
              <w:jc w:val="both"/>
            </w:pPr>
            <w:r>
              <w:t>organizacija edukacija i stručne pomoći na programima pomoći i suradnje EU</w:t>
            </w:r>
          </w:p>
          <w:p w:rsidR="006D2C4F" w:rsidRDefault="006D2C4F" w:rsidP="006D2C4F">
            <w:pPr>
              <w:numPr>
                <w:ilvl w:val="0"/>
                <w:numId w:val="3"/>
              </w:numPr>
              <w:ind w:left="1418" w:hanging="284"/>
              <w:jc w:val="both"/>
            </w:pPr>
            <w:r>
              <w:t xml:space="preserve">poslovi na promicanju povezivanja Županije s europskim regijama </w:t>
            </w:r>
          </w:p>
          <w:p w:rsidR="006D2C4F" w:rsidRDefault="006D2C4F" w:rsidP="006D2C4F">
            <w:pPr>
              <w:numPr>
                <w:ilvl w:val="0"/>
                <w:numId w:val="3"/>
              </w:numPr>
              <w:ind w:firstLine="54"/>
              <w:jc w:val="both"/>
            </w:pPr>
            <w:r>
              <w:t>suradnja u provedbi politike regionalnog razvoja Županije</w:t>
            </w:r>
          </w:p>
          <w:p w:rsidR="006D2C4F" w:rsidRDefault="006D2C4F" w:rsidP="006D2C4F">
            <w:pPr>
              <w:numPr>
                <w:ilvl w:val="0"/>
                <w:numId w:val="3"/>
              </w:numPr>
              <w:ind w:left="1418" w:hanging="284"/>
              <w:jc w:val="both"/>
            </w:pPr>
            <w:r>
              <w:t>obavljanje poslova iz područja regionalnog razvoja kroz praćenje strateških dokumenata Županijske razvojne strategije i ostalih strateških dokumenata</w:t>
            </w:r>
          </w:p>
          <w:p w:rsidR="006D2C4F" w:rsidRDefault="006D2C4F" w:rsidP="006D2C4F">
            <w:pPr>
              <w:numPr>
                <w:ilvl w:val="0"/>
                <w:numId w:val="3"/>
              </w:numPr>
              <w:ind w:left="1418" w:hanging="284"/>
              <w:jc w:val="both"/>
            </w:pPr>
            <w:r>
              <w:t>predlaganje  i provedba  programa i projekata regionalne razvojne politike u skladu s nacionalnim i europskim politikama regionalnog razvoja</w:t>
            </w:r>
          </w:p>
          <w:p w:rsidR="006D2C4F" w:rsidRDefault="006D2C4F" w:rsidP="006D2C4F">
            <w:pPr>
              <w:numPr>
                <w:ilvl w:val="0"/>
                <w:numId w:val="3"/>
              </w:numPr>
              <w:ind w:left="1418" w:hanging="284"/>
              <w:jc w:val="both"/>
            </w:pPr>
            <w:r>
              <w:t>sudjelovanje u pripremi stručnih strategijskih odluka i prijedloga razvojnih programa i projekata razvoja Županije</w:t>
            </w:r>
          </w:p>
          <w:p w:rsidR="006D2C4F" w:rsidRDefault="006D2C4F" w:rsidP="006D2C4F">
            <w:pPr>
              <w:numPr>
                <w:ilvl w:val="0"/>
                <w:numId w:val="3"/>
              </w:numPr>
              <w:ind w:left="1418" w:hanging="284"/>
              <w:jc w:val="both"/>
            </w:pPr>
            <w:r>
              <w:t>suradnja na pripremi i provedbi projekata Županije</w:t>
            </w:r>
          </w:p>
          <w:p w:rsidR="006D2C4F" w:rsidRDefault="006D2C4F" w:rsidP="006D2C4F">
            <w:pPr>
              <w:numPr>
                <w:ilvl w:val="0"/>
                <w:numId w:val="3"/>
              </w:numPr>
              <w:ind w:left="1418" w:hanging="284"/>
              <w:jc w:val="both"/>
            </w:pPr>
            <w:r>
              <w:t>suradnja s resornim ministarstvima u procesu planiranja, programiranja, provedbe regionalne razvojne politike</w:t>
            </w:r>
          </w:p>
          <w:p w:rsidR="006D2C4F" w:rsidRDefault="006D2C4F" w:rsidP="006D2C4F">
            <w:pPr>
              <w:numPr>
                <w:ilvl w:val="0"/>
                <w:numId w:val="3"/>
              </w:numPr>
              <w:ind w:left="1418" w:hanging="284"/>
              <w:jc w:val="both"/>
            </w:pPr>
            <w:r>
              <w:t>sudjelovanje u praćenju provedbe politike regionalnog razvoja na regionalnoj NUTS2 razini i županijskoj razini</w:t>
            </w:r>
          </w:p>
          <w:p w:rsidR="006D2C4F" w:rsidRDefault="006D2C4F" w:rsidP="006D2C4F">
            <w:pPr>
              <w:numPr>
                <w:ilvl w:val="0"/>
                <w:numId w:val="3"/>
              </w:numPr>
              <w:ind w:left="1418" w:hanging="284"/>
              <w:jc w:val="both"/>
            </w:pPr>
            <w:r>
              <w:t>suradnja sa regionalnim koordinatorom u provedbi politike regionalnog razvoja</w:t>
            </w:r>
          </w:p>
          <w:p w:rsidR="006D2C4F" w:rsidRPr="0020583C" w:rsidRDefault="006D2C4F" w:rsidP="006D2C4F">
            <w:pPr>
              <w:numPr>
                <w:ilvl w:val="0"/>
                <w:numId w:val="3"/>
              </w:numPr>
              <w:ind w:left="1418" w:hanging="284"/>
              <w:jc w:val="both"/>
            </w:pPr>
            <w:r>
              <w:t>suradnja s udrugama koje obavljaju djelatnost iz djelokruga Odjela,</w:t>
            </w:r>
          </w:p>
        </w:tc>
      </w:tr>
      <w:tr w:rsidR="006D2C4F" w:rsidRPr="0020583C" w:rsidTr="00DC4C11">
        <w:trPr>
          <w:trHeight w:val="567"/>
        </w:trPr>
        <w:tc>
          <w:tcPr>
            <w:tcW w:w="9288" w:type="dxa"/>
            <w:tcBorders>
              <w:top w:val="single" w:sz="4" w:space="0" w:color="auto"/>
              <w:left w:val="single" w:sz="4" w:space="0" w:color="auto"/>
              <w:bottom w:val="single" w:sz="4" w:space="0" w:color="auto"/>
              <w:right w:val="single" w:sz="4" w:space="0" w:color="auto"/>
            </w:tcBorders>
            <w:hideMark/>
          </w:tcPr>
          <w:p w:rsidR="006D2C4F" w:rsidRPr="0020583C" w:rsidRDefault="006D2C4F" w:rsidP="00DC4C11">
            <w:r w:rsidRPr="0020583C">
              <w:t xml:space="preserve">Zadatak 2:                                                                                               </w:t>
            </w:r>
            <w:r>
              <w:t xml:space="preserve">                               6</w:t>
            </w:r>
            <w:r w:rsidRPr="0020583C">
              <w:t>0%</w:t>
            </w:r>
          </w:p>
          <w:p w:rsidR="006D2C4F" w:rsidRDefault="006D2C4F" w:rsidP="006D2C4F">
            <w:pPr>
              <w:numPr>
                <w:ilvl w:val="0"/>
                <w:numId w:val="4"/>
              </w:numPr>
              <w:jc w:val="both"/>
            </w:pPr>
            <w:r>
              <w:t xml:space="preserve">obavljanje najsloženijih europskih poslova </w:t>
            </w:r>
          </w:p>
          <w:p w:rsidR="006D2C4F" w:rsidRDefault="006D2C4F" w:rsidP="006D2C4F">
            <w:pPr>
              <w:numPr>
                <w:ilvl w:val="0"/>
                <w:numId w:val="5"/>
              </w:numPr>
              <w:autoSpaceDE w:val="0"/>
              <w:autoSpaceDN w:val="0"/>
              <w:adjustRightInd w:val="0"/>
              <w:ind w:left="1418" w:hanging="284"/>
              <w:contextualSpacing/>
              <w:jc w:val="both"/>
            </w:pPr>
            <w:r>
              <w:t>usklađivanje aktivnosti gospodarstva i društvenih djelatnosti u projektima i potporama EU</w:t>
            </w:r>
          </w:p>
          <w:p w:rsidR="006D2C4F" w:rsidRDefault="006D2C4F" w:rsidP="006D2C4F">
            <w:pPr>
              <w:numPr>
                <w:ilvl w:val="0"/>
                <w:numId w:val="5"/>
              </w:numPr>
              <w:autoSpaceDE w:val="0"/>
              <w:autoSpaceDN w:val="0"/>
              <w:adjustRightInd w:val="0"/>
              <w:ind w:left="1418" w:hanging="284"/>
              <w:contextualSpacing/>
              <w:jc w:val="both"/>
            </w:pPr>
            <w:r>
              <w:t>rad na uspostavljanju suradnje s pograničnim područjima susjednih zemalja</w:t>
            </w:r>
          </w:p>
          <w:p w:rsidR="006D2C4F" w:rsidRDefault="006D2C4F" w:rsidP="006D2C4F">
            <w:pPr>
              <w:numPr>
                <w:ilvl w:val="0"/>
                <w:numId w:val="5"/>
              </w:numPr>
              <w:autoSpaceDE w:val="0"/>
              <w:autoSpaceDN w:val="0"/>
              <w:adjustRightInd w:val="0"/>
              <w:ind w:left="1418" w:hanging="284"/>
              <w:contextualSpacing/>
              <w:jc w:val="both"/>
            </w:pPr>
            <w:r>
              <w:t>organiziranje i/ili sudjelovanje u organizaciji stručnih skupova i ostalih edukativnih aktivnosti i promoviranje europskih vrijednosti</w:t>
            </w:r>
          </w:p>
          <w:p w:rsidR="006D2C4F" w:rsidRDefault="006D2C4F" w:rsidP="006D2C4F">
            <w:pPr>
              <w:numPr>
                <w:ilvl w:val="0"/>
                <w:numId w:val="5"/>
              </w:numPr>
              <w:autoSpaceDE w:val="0"/>
              <w:autoSpaceDN w:val="0"/>
              <w:adjustRightInd w:val="0"/>
              <w:ind w:left="1418" w:hanging="284"/>
              <w:contextualSpacing/>
              <w:jc w:val="both"/>
            </w:pPr>
            <w:r>
              <w:t>izrada, provedba i praćenje  programa i projekata u EU na regionalnoj razini i u skladu s principom supsidijarnosti</w:t>
            </w:r>
          </w:p>
          <w:p w:rsidR="006D2C4F" w:rsidRDefault="00F97B9A" w:rsidP="006D2C4F">
            <w:pPr>
              <w:numPr>
                <w:ilvl w:val="0"/>
                <w:numId w:val="5"/>
              </w:numPr>
              <w:autoSpaceDE w:val="0"/>
              <w:autoSpaceDN w:val="0"/>
              <w:adjustRightInd w:val="0"/>
              <w:ind w:left="1418" w:hanging="284"/>
              <w:contextualSpacing/>
              <w:jc w:val="both"/>
            </w:pPr>
            <w:r>
              <w:lastRenderedPageBreak/>
              <w:t>priprema, provedba i praćenje</w:t>
            </w:r>
            <w:r w:rsidR="006D2C4F">
              <w:t xml:space="preserve"> projekata sufinanciranih iz fondova EU i ostalih međunarodnih i nacionalnih fondova, te državnih tijela u suradnji s regionalnim koordinatorom,</w:t>
            </w:r>
          </w:p>
          <w:p w:rsidR="00F97B9A" w:rsidRDefault="00F97B9A" w:rsidP="006D2C4F">
            <w:pPr>
              <w:numPr>
                <w:ilvl w:val="0"/>
                <w:numId w:val="5"/>
              </w:numPr>
              <w:autoSpaceDE w:val="0"/>
              <w:autoSpaceDN w:val="0"/>
              <w:adjustRightInd w:val="0"/>
              <w:ind w:left="1418" w:hanging="284"/>
              <w:contextualSpacing/>
              <w:jc w:val="both"/>
            </w:pPr>
            <w:r>
              <w:t>obavljanje stručnih poslova za savjetodavno tijelo zaduženo za europske poslove</w:t>
            </w:r>
          </w:p>
          <w:p w:rsidR="006D2C4F" w:rsidRDefault="006D2C4F" w:rsidP="006D2C4F">
            <w:pPr>
              <w:numPr>
                <w:ilvl w:val="0"/>
                <w:numId w:val="5"/>
              </w:numPr>
              <w:autoSpaceDE w:val="0"/>
              <w:autoSpaceDN w:val="0"/>
              <w:adjustRightInd w:val="0"/>
              <w:ind w:left="1418" w:hanging="284"/>
              <w:contextualSpacing/>
              <w:jc w:val="both"/>
            </w:pPr>
            <w:r>
              <w:t>izrada akata o uspostavi prijateljstava i drugih oblika suradnje s međunarodnim i domaćim subjektima</w:t>
            </w:r>
          </w:p>
          <w:p w:rsidR="006D2C4F" w:rsidRDefault="006D2C4F" w:rsidP="006D2C4F">
            <w:pPr>
              <w:numPr>
                <w:ilvl w:val="0"/>
                <w:numId w:val="5"/>
              </w:numPr>
              <w:autoSpaceDE w:val="0"/>
              <w:autoSpaceDN w:val="0"/>
              <w:adjustRightInd w:val="0"/>
              <w:ind w:left="1418" w:hanging="284"/>
              <w:contextualSpacing/>
              <w:jc w:val="both"/>
            </w:pPr>
            <w:r>
              <w:t xml:space="preserve">vođenje evidencije međunarodnih ugovora </w:t>
            </w:r>
          </w:p>
          <w:p w:rsidR="006D2C4F" w:rsidRDefault="006D2C4F" w:rsidP="006D2C4F">
            <w:pPr>
              <w:numPr>
                <w:ilvl w:val="0"/>
                <w:numId w:val="5"/>
              </w:numPr>
              <w:autoSpaceDE w:val="0"/>
              <w:autoSpaceDN w:val="0"/>
              <w:adjustRightInd w:val="0"/>
              <w:ind w:left="1418" w:hanging="284"/>
              <w:contextualSpacing/>
              <w:jc w:val="both"/>
            </w:pPr>
            <w:r>
              <w:t>poslovi i aktivnosti vezani uz članstvo u međunarodnim organizacijama</w:t>
            </w:r>
          </w:p>
          <w:p w:rsidR="006D2C4F" w:rsidRDefault="006D2C4F" w:rsidP="006D2C4F">
            <w:pPr>
              <w:numPr>
                <w:ilvl w:val="0"/>
                <w:numId w:val="5"/>
              </w:numPr>
              <w:autoSpaceDE w:val="0"/>
              <w:autoSpaceDN w:val="0"/>
              <w:adjustRightInd w:val="0"/>
              <w:ind w:left="1418" w:hanging="284"/>
              <w:contextualSpacing/>
              <w:jc w:val="both"/>
            </w:pPr>
            <w:r>
              <w:t>provedba usvojenih sporazuma o trajnoj suradnji Županije</w:t>
            </w:r>
          </w:p>
          <w:p w:rsidR="006D2C4F" w:rsidRDefault="006D2C4F" w:rsidP="006D2C4F">
            <w:pPr>
              <w:numPr>
                <w:ilvl w:val="0"/>
                <w:numId w:val="5"/>
              </w:numPr>
              <w:autoSpaceDE w:val="0"/>
              <w:autoSpaceDN w:val="0"/>
              <w:adjustRightInd w:val="0"/>
              <w:ind w:left="1418" w:hanging="284"/>
              <w:contextualSpacing/>
              <w:jc w:val="both"/>
            </w:pPr>
            <w:r>
              <w:t>vođenje europskih programa razmjene i sudjelovanje u drugim međunarodnim programima</w:t>
            </w:r>
          </w:p>
          <w:p w:rsidR="006D2C4F" w:rsidRDefault="006D2C4F" w:rsidP="006D2C4F">
            <w:pPr>
              <w:numPr>
                <w:ilvl w:val="0"/>
                <w:numId w:val="5"/>
              </w:numPr>
              <w:autoSpaceDE w:val="0"/>
              <w:autoSpaceDN w:val="0"/>
              <w:adjustRightInd w:val="0"/>
              <w:ind w:left="1418" w:hanging="284"/>
              <w:contextualSpacing/>
              <w:jc w:val="both"/>
            </w:pPr>
            <w:r>
              <w:t>poticanje razvoja prekogranične, transnacionalne i međuregionalne suradnje s potrebnom korespondencijom na stranim jezicima</w:t>
            </w:r>
          </w:p>
          <w:p w:rsidR="006D2C4F" w:rsidRDefault="006D2C4F" w:rsidP="006D2C4F">
            <w:pPr>
              <w:numPr>
                <w:ilvl w:val="0"/>
                <w:numId w:val="5"/>
              </w:numPr>
              <w:autoSpaceDE w:val="0"/>
              <w:autoSpaceDN w:val="0"/>
              <w:adjustRightInd w:val="0"/>
              <w:ind w:left="1418" w:hanging="284"/>
              <w:contextualSpacing/>
              <w:jc w:val="both"/>
            </w:pPr>
            <w:r>
              <w:t xml:space="preserve">djelovanje na promociji Županije aktivno sudjelujući na međunarodnim i domaćim skupovima  </w:t>
            </w:r>
          </w:p>
          <w:p w:rsidR="006D2C4F" w:rsidRDefault="00F97B9A" w:rsidP="006D2C4F">
            <w:pPr>
              <w:numPr>
                <w:ilvl w:val="0"/>
                <w:numId w:val="5"/>
              </w:numPr>
              <w:autoSpaceDE w:val="0"/>
              <w:autoSpaceDN w:val="0"/>
              <w:adjustRightInd w:val="0"/>
              <w:ind w:left="1418" w:hanging="284"/>
              <w:contextualSpacing/>
              <w:jc w:val="both"/>
            </w:pPr>
            <w:r>
              <w:t>suradnja s EU institucijama, veleposlanstvima i međunarodnim organizacijama</w:t>
            </w:r>
          </w:p>
          <w:p w:rsidR="006D2C4F" w:rsidRPr="0020583C" w:rsidRDefault="006D2C4F" w:rsidP="006D2C4F">
            <w:pPr>
              <w:numPr>
                <w:ilvl w:val="0"/>
                <w:numId w:val="5"/>
              </w:numPr>
              <w:autoSpaceDE w:val="0"/>
              <w:autoSpaceDN w:val="0"/>
              <w:adjustRightInd w:val="0"/>
              <w:ind w:left="1418" w:hanging="284"/>
              <w:contextualSpacing/>
              <w:jc w:val="both"/>
            </w:pPr>
            <w:r>
              <w:t>i drugi poslovi po nalogu pročelnika, župana i zamjenika župana, sukladno propisima te općim i pojedinačnim aktima županijskih tijela.</w:t>
            </w:r>
          </w:p>
        </w:tc>
      </w:tr>
    </w:tbl>
    <w:p w:rsidR="006D2C4F" w:rsidRDefault="006D2C4F" w:rsidP="006D2C4F">
      <w:pPr>
        <w:jc w:val="both"/>
        <w:rPr>
          <w:b/>
          <w:szCs w:val="24"/>
          <w:u w:val="single"/>
        </w:rPr>
      </w:pPr>
    </w:p>
    <w:p w:rsidR="006D2C4F" w:rsidRPr="00B53ED0" w:rsidRDefault="006D2C4F" w:rsidP="006D2C4F">
      <w:pPr>
        <w:jc w:val="both"/>
        <w:rPr>
          <w:b/>
          <w:szCs w:val="24"/>
          <w:u w:val="single"/>
        </w:rPr>
      </w:pPr>
      <w:r w:rsidRPr="00B53ED0">
        <w:rPr>
          <w:b/>
          <w:szCs w:val="24"/>
          <w:u w:val="single"/>
        </w:rPr>
        <w:t>Podaci o plaći</w:t>
      </w:r>
    </w:p>
    <w:p w:rsidR="006D2C4F" w:rsidRDefault="006D2C4F" w:rsidP="006D2C4F">
      <w:pPr>
        <w:jc w:val="both"/>
        <w:rPr>
          <w:szCs w:val="24"/>
          <w:u w:val="single"/>
        </w:rPr>
      </w:pPr>
    </w:p>
    <w:p w:rsidR="006D2C4F" w:rsidRPr="00183749" w:rsidRDefault="006D2C4F" w:rsidP="006D2C4F">
      <w:pPr>
        <w:jc w:val="both"/>
        <w:rPr>
          <w:szCs w:val="24"/>
        </w:rPr>
      </w:pPr>
      <w:r>
        <w:rPr>
          <w:szCs w:val="24"/>
        </w:rPr>
        <w:t>Plaću službenika čini umnožak koeficijenta složenosti poslova radnog mjesta na koje je službenik raspoređen i osnovice za obračun plaće, uvećan za 0,5% za svaku navršenu godinu radnog staža.</w:t>
      </w:r>
    </w:p>
    <w:p w:rsidR="006D2C4F" w:rsidRDefault="006D2C4F" w:rsidP="006D2C4F">
      <w:pPr>
        <w:jc w:val="both"/>
        <w:rPr>
          <w:szCs w:val="24"/>
        </w:rPr>
      </w:pPr>
      <w:r w:rsidRPr="00695643">
        <w:rPr>
          <w:szCs w:val="24"/>
        </w:rPr>
        <w:t xml:space="preserve">Koeficijent složenosti poslova navedenog radnog mjesta </w:t>
      </w:r>
      <w:r>
        <w:rPr>
          <w:szCs w:val="24"/>
        </w:rPr>
        <w:t xml:space="preserve">je 2,56 </w:t>
      </w:r>
      <w:r w:rsidRPr="00695643">
        <w:rPr>
          <w:szCs w:val="24"/>
        </w:rPr>
        <w:t xml:space="preserve"> uz osnovicu </w:t>
      </w:r>
      <w:r>
        <w:rPr>
          <w:szCs w:val="24"/>
        </w:rPr>
        <w:t>za izračun plaće u iznosu od 4.323,32</w:t>
      </w:r>
      <w:r w:rsidRPr="00695643">
        <w:rPr>
          <w:szCs w:val="24"/>
        </w:rPr>
        <w:t xml:space="preserve"> kuna bruto. </w:t>
      </w:r>
    </w:p>
    <w:p w:rsidR="006D2C4F" w:rsidRPr="00374EB2" w:rsidRDefault="006D2C4F" w:rsidP="006D2C4F">
      <w:pPr>
        <w:jc w:val="both"/>
        <w:rPr>
          <w:szCs w:val="24"/>
        </w:rPr>
      </w:pPr>
      <w:r>
        <w:rPr>
          <w:szCs w:val="24"/>
        </w:rPr>
        <w:t>Dodatak na radni staž izračunava se tako da se umnožak osnovice i  koeficijenta radnog mjesta pomnoži sa 0,5% za svaku navršenu godinu radnog staža.</w:t>
      </w:r>
    </w:p>
    <w:p w:rsidR="006D2C4F" w:rsidRDefault="006D2C4F" w:rsidP="006D2C4F">
      <w:pPr>
        <w:jc w:val="both"/>
        <w:rPr>
          <w:b/>
          <w:szCs w:val="24"/>
        </w:rPr>
      </w:pPr>
    </w:p>
    <w:p w:rsidR="006D2C4F" w:rsidRDefault="006D2C4F" w:rsidP="006D2C4F">
      <w:pPr>
        <w:jc w:val="both"/>
        <w:rPr>
          <w:b/>
          <w:szCs w:val="24"/>
        </w:rPr>
      </w:pPr>
      <w:r w:rsidRPr="00B53ED0">
        <w:rPr>
          <w:b/>
          <w:szCs w:val="24"/>
        </w:rPr>
        <w:t>TESTIRANJE KANDIDATA</w:t>
      </w:r>
    </w:p>
    <w:p w:rsidR="006D2C4F" w:rsidRDefault="006D2C4F" w:rsidP="006D2C4F">
      <w:pPr>
        <w:jc w:val="both"/>
        <w:rPr>
          <w:b/>
          <w:szCs w:val="24"/>
        </w:rPr>
      </w:pPr>
    </w:p>
    <w:p w:rsidR="006D2C4F" w:rsidRDefault="006D2C4F" w:rsidP="006D2C4F">
      <w:pPr>
        <w:jc w:val="both"/>
        <w:rPr>
          <w:b/>
          <w:szCs w:val="24"/>
          <w:u w:val="single"/>
        </w:rPr>
      </w:pPr>
      <w:r w:rsidRPr="00B53ED0">
        <w:rPr>
          <w:b/>
          <w:szCs w:val="24"/>
          <w:u w:val="single"/>
        </w:rPr>
        <w:t>Pravni i drugi izvori za pripremanje kandidata za testiranje</w:t>
      </w:r>
      <w:r>
        <w:rPr>
          <w:b/>
          <w:szCs w:val="24"/>
          <w:u w:val="single"/>
        </w:rPr>
        <w:t xml:space="preserve"> za radno mjesto VIŠI STRUČNI SURADNIK ZA REGIONALNI RAZVOJ I EUROPSKE POSLOVE</w:t>
      </w:r>
    </w:p>
    <w:p w:rsidR="006D2C4F" w:rsidRDefault="006D2C4F" w:rsidP="006D2C4F">
      <w:pPr>
        <w:jc w:val="both"/>
        <w:rPr>
          <w:b/>
          <w:szCs w:val="24"/>
          <w:u w:val="single"/>
        </w:rPr>
      </w:pPr>
    </w:p>
    <w:p w:rsidR="006D2C4F" w:rsidRDefault="006D2C4F" w:rsidP="006D2C4F">
      <w:pPr>
        <w:ind w:left="360"/>
        <w:jc w:val="both"/>
        <w:rPr>
          <w:b/>
          <w:szCs w:val="24"/>
        </w:rPr>
      </w:pPr>
      <w:r>
        <w:rPr>
          <w:b/>
          <w:szCs w:val="24"/>
        </w:rPr>
        <w:t xml:space="preserve">Provjera znanja i  sposobnosti </w:t>
      </w:r>
      <w:r w:rsidRPr="00B53ED0">
        <w:rPr>
          <w:b/>
          <w:szCs w:val="24"/>
        </w:rPr>
        <w:t xml:space="preserve"> bitnih za obavljanje poslova radnog mjesta na ko</w:t>
      </w:r>
      <w:r>
        <w:rPr>
          <w:b/>
          <w:szCs w:val="24"/>
        </w:rPr>
        <w:t>je se osoba prima</w:t>
      </w:r>
    </w:p>
    <w:p w:rsidR="006D2C4F" w:rsidRDefault="006D2C4F" w:rsidP="006D2C4F">
      <w:pPr>
        <w:jc w:val="both"/>
        <w:rPr>
          <w:b/>
          <w:szCs w:val="24"/>
        </w:rPr>
      </w:pPr>
    </w:p>
    <w:p w:rsidR="006D2C4F" w:rsidRDefault="006D2C4F" w:rsidP="006D2C4F">
      <w:pPr>
        <w:jc w:val="both"/>
        <w:rPr>
          <w:szCs w:val="24"/>
        </w:rPr>
      </w:pPr>
      <w:r>
        <w:rPr>
          <w:szCs w:val="24"/>
        </w:rPr>
        <w:t>Pitanja kojim se testira provjera znanja i sposobnosti bitnih za obavljanje poslova radnog mjesta za koje je raspisan oglas temelje se na sljedećim propisima:</w:t>
      </w:r>
    </w:p>
    <w:p w:rsidR="006D2C4F" w:rsidRDefault="006D2C4F" w:rsidP="006D2C4F">
      <w:pPr>
        <w:jc w:val="both"/>
        <w:rPr>
          <w:b/>
          <w:szCs w:val="24"/>
        </w:rPr>
      </w:pPr>
    </w:p>
    <w:p w:rsidR="006D2C4F" w:rsidRDefault="006D2C4F" w:rsidP="006D2C4F">
      <w:pPr>
        <w:jc w:val="both"/>
      </w:pPr>
      <w:r>
        <w:t>1.</w:t>
      </w:r>
      <w:r w:rsidRPr="00614412">
        <w:t>Zakon o lokalnoj i područnoj (regionalnoj) samoupravi („Narodne novine“ broj 33/01, 60/01-vjerodostojno tumačenje, 129/05, 109/07, 125/08, 36/09,</w:t>
      </w:r>
      <w:r w:rsidR="008116B0">
        <w:t xml:space="preserve"> </w:t>
      </w:r>
      <w:r w:rsidRPr="00614412">
        <w:t>150/11,</w:t>
      </w:r>
      <w:r w:rsidR="008116B0">
        <w:t xml:space="preserve"> </w:t>
      </w:r>
      <w:r w:rsidRPr="00614412">
        <w:t>144/12,</w:t>
      </w:r>
      <w:r>
        <w:t xml:space="preserve"> 123/17,</w:t>
      </w:r>
      <w:r w:rsidR="008116B0">
        <w:t xml:space="preserve"> </w:t>
      </w:r>
      <w:r>
        <w:t>98/19</w:t>
      </w:r>
      <w:r w:rsidR="00BB378C">
        <w:t>, 144/20</w:t>
      </w:r>
      <w:r w:rsidRPr="00614412">
        <w:t xml:space="preserve">) </w:t>
      </w:r>
    </w:p>
    <w:p w:rsidR="006D2C4F" w:rsidRDefault="006D2C4F" w:rsidP="000640BA">
      <w:pPr>
        <w:jc w:val="both"/>
      </w:pPr>
      <w:r>
        <w:t>2. Zakon o regionalnom razvoju RH  („Narodne novine“ broj 147/14, 123/</w:t>
      </w:r>
      <w:r w:rsidRPr="00614412">
        <w:t>1</w:t>
      </w:r>
      <w:r>
        <w:t>7, 118/18)</w:t>
      </w:r>
    </w:p>
    <w:p w:rsidR="000640BA" w:rsidRDefault="000640BA" w:rsidP="000640BA">
      <w:pPr>
        <w:jc w:val="both"/>
      </w:pPr>
      <w:r>
        <w:t xml:space="preserve">3. </w:t>
      </w:r>
      <w:r>
        <w:t xml:space="preserve">Zakon o </w:t>
      </w:r>
      <w:r>
        <w:t>sustavu strateškog</w:t>
      </w:r>
      <w:r w:rsidR="00AD7BE0">
        <w:t xml:space="preserve"> planiranja i upravljanja</w:t>
      </w:r>
      <w:r>
        <w:t xml:space="preserve"> razvojem Republike Hrvatske (NN 123/17)</w:t>
      </w:r>
    </w:p>
    <w:p w:rsidR="000640BA" w:rsidRDefault="000640BA" w:rsidP="000640BA">
      <w:pPr>
        <w:jc w:val="both"/>
      </w:pPr>
      <w:r>
        <w:t xml:space="preserve">4. </w:t>
      </w:r>
      <w:r>
        <w:t>Nacionalni plan oporavka i otpornosti (</w:t>
      </w:r>
      <w:hyperlink r:id="rId6" w:history="1">
        <w:r w:rsidRPr="004000ED">
          <w:rPr>
            <w:rStyle w:val="Hiperveza"/>
          </w:rPr>
          <w:t>https://planoporavka.gov.hr/dokumenti-113/113</w:t>
        </w:r>
      </w:hyperlink>
      <w:r>
        <w:t>, Dokument br. 1)</w:t>
      </w:r>
    </w:p>
    <w:p w:rsidR="000640BA" w:rsidRDefault="000640BA" w:rsidP="000640BA">
      <w:pPr>
        <w:jc w:val="both"/>
      </w:pPr>
      <w:r>
        <w:t xml:space="preserve">5. </w:t>
      </w:r>
      <w:hyperlink r:id="rId7" w:history="1">
        <w:r w:rsidRPr="004000ED">
          <w:rPr>
            <w:rStyle w:val="Hiperveza"/>
          </w:rPr>
          <w:t>https://strukturnifondovi.hr/eu-fondovi/eu-fondovi-2021-2027/</w:t>
        </w:r>
      </w:hyperlink>
      <w:r>
        <w:t xml:space="preserve"> </w:t>
      </w:r>
    </w:p>
    <w:p w:rsidR="000640BA" w:rsidRPr="00485609" w:rsidRDefault="000640BA" w:rsidP="000640BA">
      <w:pPr>
        <w:jc w:val="both"/>
      </w:pPr>
    </w:p>
    <w:p w:rsidR="006D2C4F" w:rsidRDefault="006D2C4F" w:rsidP="006D2C4F">
      <w:pPr>
        <w:jc w:val="both"/>
        <w:rPr>
          <w:szCs w:val="24"/>
        </w:rPr>
      </w:pPr>
    </w:p>
    <w:p w:rsidR="006D2C4F" w:rsidRDefault="006D2C4F" w:rsidP="006D2C4F">
      <w:pPr>
        <w:jc w:val="both"/>
        <w:rPr>
          <w:szCs w:val="24"/>
        </w:rPr>
      </w:pPr>
      <w:r>
        <w:rPr>
          <w:szCs w:val="24"/>
        </w:rPr>
        <w:t xml:space="preserve">Prethodnoj provjeri znanja i sposobnosti kandidata mogu pristupiti samo kandidati koji ispunjavaju formalne uvjete oglasa. </w:t>
      </w:r>
    </w:p>
    <w:p w:rsidR="006D2C4F" w:rsidRDefault="006D2C4F" w:rsidP="006D2C4F">
      <w:pPr>
        <w:jc w:val="both"/>
        <w:rPr>
          <w:szCs w:val="24"/>
          <w:u w:val="single"/>
        </w:rPr>
      </w:pPr>
    </w:p>
    <w:p w:rsidR="006D2C4F" w:rsidRDefault="006D2C4F" w:rsidP="006D2C4F">
      <w:pPr>
        <w:jc w:val="both"/>
        <w:rPr>
          <w:b/>
          <w:szCs w:val="24"/>
          <w:u w:val="single"/>
        </w:rPr>
      </w:pPr>
    </w:p>
    <w:p w:rsidR="006D2C4F" w:rsidRDefault="006D2C4F" w:rsidP="006D2C4F">
      <w:pPr>
        <w:jc w:val="both"/>
        <w:rPr>
          <w:b/>
          <w:szCs w:val="24"/>
          <w:u w:val="single"/>
        </w:rPr>
      </w:pPr>
    </w:p>
    <w:p w:rsidR="006D2C4F" w:rsidRPr="004B2A65" w:rsidRDefault="006D2C4F" w:rsidP="006D2C4F">
      <w:pPr>
        <w:jc w:val="center"/>
        <w:rPr>
          <w:b/>
          <w:szCs w:val="24"/>
          <w:u w:val="single"/>
        </w:rPr>
      </w:pPr>
      <w:r w:rsidRPr="004B2A65">
        <w:rPr>
          <w:b/>
          <w:szCs w:val="24"/>
          <w:u w:val="single"/>
        </w:rPr>
        <w:t>PRAVILA I POSTUPAK TESTIRANJA</w:t>
      </w:r>
    </w:p>
    <w:p w:rsidR="006D2C4F" w:rsidRPr="004B2A65" w:rsidRDefault="006D2C4F" w:rsidP="006D2C4F">
      <w:pPr>
        <w:jc w:val="both"/>
        <w:rPr>
          <w:b/>
          <w:szCs w:val="24"/>
          <w:u w:val="single"/>
        </w:rPr>
      </w:pPr>
    </w:p>
    <w:p w:rsidR="006D2C4F" w:rsidRPr="004B2A65" w:rsidRDefault="006D2C4F" w:rsidP="006D2C4F">
      <w:pPr>
        <w:ind w:firstLine="708"/>
        <w:jc w:val="both"/>
        <w:rPr>
          <w:szCs w:val="24"/>
        </w:rPr>
      </w:pPr>
      <w:r w:rsidRPr="004B2A65">
        <w:rPr>
          <w:szCs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w:t>
      </w:r>
      <w:r>
        <w:rPr>
          <w:szCs w:val="24"/>
        </w:rPr>
        <w:t>a je povukao prijavu na oglas</w:t>
      </w:r>
      <w:r w:rsidRPr="004B2A65">
        <w:rPr>
          <w:szCs w:val="24"/>
        </w:rPr>
        <w:t>.</w:t>
      </w:r>
    </w:p>
    <w:p w:rsidR="006D2C4F" w:rsidRPr="004B2A65" w:rsidRDefault="006D2C4F" w:rsidP="006D2C4F">
      <w:pPr>
        <w:rPr>
          <w:szCs w:val="24"/>
        </w:rPr>
      </w:pPr>
    </w:p>
    <w:p w:rsidR="006D2C4F" w:rsidRPr="004B2A65" w:rsidRDefault="006D2C4F" w:rsidP="006D2C4F">
      <w:pPr>
        <w:rPr>
          <w:szCs w:val="24"/>
        </w:rPr>
      </w:pPr>
    </w:p>
    <w:p w:rsidR="006D2C4F" w:rsidRPr="004B2A65" w:rsidRDefault="006D2C4F" w:rsidP="006D2C4F">
      <w:pPr>
        <w:rPr>
          <w:szCs w:val="24"/>
        </w:rPr>
      </w:pPr>
      <w:r w:rsidRPr="004B2A65">
        <w:rPr>
          <w:szCs w:val="24"/>
        </w:rPr>
        <w:t>Po utvrđivanju identiteta, kandidatima će bi</w:t>
      </w:r>
      <w:r>
        <w:rPr>
          <w:szCs w:val="24"/>
        </w:rPr>
        <w:t>ti podijeljena pitanja za pisan</w:t>
      </w:r>
      <w:r w:rsidRPr="004B2A65">
        <w:rPr>
          <w:szCs w:val="24"/>
        </w:rPr>
        <w:t>u provjeru znanja.</w:t>
      </w:r>
    </w:p>
    <w:p w:rsidR="006D2C4F" w:rsidRPr="004B2A65" w:rsidRDefault="006D2C4F" w:rsidP="006D2C4F">
      <w:pPr>
        <w:rPr>
          <w:szCs w:val="24"/>
        </w:rPr>
      </w:pPr>
      <w:r w:rsidRPr="004B2A65">
        <w:rPr>
          <w:szCs w:val="24"/>
        </w:rPr>
        <w:t>N</w:t>
      </w:r>
      <w:r>
        <w:rPr>
          <w:szCs w:val="24"/>
        </w:rPr>
        <w:t>avedena pisana provjera traje 6</w:t>
      </w:r>
      <w:r w:rsidRPr="004B2A65">
        <w:rPr>
          <w:szCs w:val="24"/>
        </w:rPr>
        <w:t>0 minuta.</w:t>
      </w:r>
    </w:p>
    <w:p w:rsidR="006D2C4F" w:rsidRPr="004B2A65" w:rsidRDefault="006D2C4F" w:rsidP="006D2C4F">
      <w:pPr>
        <w:rPr>
          <w:szCs w:val="24"/>
        </w:rPr>
      </w:pPr>
      <w:r w:rsidRPr="004B2A65">
        <w:rPr>
          <w:szCs w:val="24"/>
        </w:rPr>
        <w:t>Kandidati su se dužni pridržavati utvrđenog vremena i rasporeda testiranja.</w:t>
      </w:r>
    </w:p>
    <w:p w:rsidR="006D2C4F" w:rsidRPr="004B2A65" w:rsidRDefault="006D2C4F" w:rsidP="006D2C4F">
      <w:pPr>
        <w:rPr>
          <w:szCs w:val="24"/>
        </w:rPr>
      </w:pPr>
    </w:p>
    <w:p w:rsidR="006D2C4F" w:rsidRDefault="006D2C4F" w:rsidP="006D2C4F">
      <w:pPr>
        <w:rPr>
          <w:szCs w:val="24"/>
        </w:rPr>
      </w:pPr>
    </w:p>
    <w:p w:rsidR="006D2C4F" w:rsidRPr="003805D9" w:rsidRDefault="006D2C4F" w:rsidP="006D2C4F">
      <w:pPr>
        <w:rPr>
          <w:b/>
          <w:szCs w:val="24"/>
          <w:u w:val="single"/>
        </w:rPr>
      </w:pPr>
      <w:r>
        <w:rPr>
          <w:szCs w:val="24"/>
        </w:rPr>
        <w:t xml:space="preserve">Za vrijeme provjere znanja i sposobnosti </w:t>
      </w:r>
      <w:r w:rsidRPr="003805D9">
        <w:rPr>
          <w:b/>
          <w:szCs w:val="24"/>
          <w:u w:val="single"/>
        </w:rPr>
        <w:t>nije dopušteno:</w:t>
      </w:r>
    </w:p>
    <w:p w:rsidR="006D2C4F" w:rsidRDefault="006D2C4F" w:rsidP="006D2C4F">
      <w:pPr>
        <w:numPr>
          <w:ilvl w:val="0"/>
          <w:numId w:val="1"/>
        </w:numPr>
        <w:rPr>
          <w:szCs w:val="24"/>
        </w:rPr>
      </w:pPr>
      <w:r>
        <w:rPr>
          <w:szCs w:val="24"/>
        </w:rPr>
        <w:t>koristiti se bilo kakvom literaturom odnosno bilješkama;</w:t>
      </w:r>
    </w:p>
    <w:p w:rsidR="006D2C4F" w:rsidRDefault="006D2C4F" w:rsidP="006D2C4F">
      <w:pPr>
        <w:numPr>
          <w:ilvl w:val="0"/>
          <w:numId w:val="1"/>
        </w:numPr>
        <w:rPr>
          <w:szCs w:val="24"/>
        </w:rPr>
      </w:pPr>
      <w:r>
        <w:rPr>
          <w:szCs w:val="24"/>
        </w:rPr>
        <w:t>koristiti mobitel ili druga komunikacijska sredstva;</w:t>
      </w:r>
    </w:p>
    <w:p w:rsidR="006D2C4F" w:rsidRDefault="006D2C4F" w:rsidP="006D2C4F">
      <w:pPr>
        <w:numPr>
          <w:ilvl w:val="0"/>
          <w:numId w:val="1"/>
        </w:numPr>
        <w:rPr>
          <w:szCs w:val="24"/>
        </w:rPr>
      </w:pPr>
      <w:r>
        <w:rPr>
          <w:szCs w:val="24"/>
        </w:rPr>
        <w:t>napuštati prostoriju u kojoj se provjera odvija:</w:t>
      </w:r>
    </w:p>
    <w:p w:rsidR="006D2C4F" w:rsidRDefault="006D2C4F" w:rsidP="006D2C4F">
      <w:pPr>
        <w:numPr>
          <w:ilvl w:val="0"/>
          <w:numId w:val="1"/>
        </w:numPr>
        <w:rPr>
          <w:szCs w:val="24"/>
        </w:rPr>
      </w:pPr>
      <w:r>
        <w:rPr>
          <w:szCs w:val="24"/>
        </w:rPr>
        <w:t>razgovarati s ostalim kandidatima</w:t>
      </w:r>
    </w:p>
    <w:p w:rsidR="006D2C4F" w:rsidRDefault="006D2C4F" w:rsidP="006D2C4F">
      <w:pPr>
        <w:rPr>
          <w:szCs w:val="24"/>
        </w:rPr>
      </w:pPr>
      <w:r>
        <w:rPr>
          <w:szCs w:val="24"/>
        </w:rPr>
        <w:t>niti na bilo koji drugi način remetiti koncentraciju kandidata.</w:t>
      </w:r>
    </w:p>
    <w:p w:rsidR="006D2C4F" w:rsidRDefault="006D2C4F" w:rsidP="006D2C4F">
      <w:pPr>
        <w:rPr>
          <w:szCs w:val="24"/>
        </w:rPr>
      </w:pPr>
    </w:p>
    <w:p w:rsidR="006D2C4F" w:rsidRDefault="006D2C4F" w:rsidP="006D2C4F">
      <w:pPr>
        <w:rPr>
          <w:szCs w:val="24"/>
        </w:rPr>
      </w:pPr>
      <w:r>
        <w:rPr>
          <w:szCs w:val="24"/>
        </w:rPr>
        <w:t>Kandidati koji će se ponašati neprimjereno ili će prekršiti jedno od gore navedenih pravila biti će udaljeni s testiranja, a njihov rezultat i rad Povjerenstvo neće bodovati.</w:t>
      </w:r>
    </w:p>
    <w:p w:rsidR="006D2C4F" w:rsidRDefault="006D2C4F" w:rsidP="006D2C4F">
      <w:pPr>
        <w:jc w:val="both"/>
        <w:rPr>
          <w:szCs w:val="24"/>
        </w:rPr>
      </w:pPr>
    </w:p>
    <w:p w:rsidR="006D2C4F" w:rsidRDefault="006D2C4F" w:rsidP="006D2C4F">
      <w:pPr>
        <w:jc w:val="both"/>
        <w:rPr>
          <w:szCs w:val="24"/>
        </w:rPr>
      </w:pPr>
      <w:r>
        <w:rPr>
          <w:szCs w:val="24"/>
        </w:rPr>
        <w:t xml:space="preserve">Za svaki dio provjere znanja dodjeljuje se od 1 do 10 bodova. </w:t>
      </w:r>
    </w:p>
    <w:p w:rsidR="006D2C4F" w:rsidRDefault="006D2C4F" w:rsidP="006D2C4F">
      <w:pPr>
        <w:jc w:val="both"/>
        <w:rPr>
          <w:szCs w:val="24"/>
        </w:rPr>
      </w:pPr>
      <w:r>
        <w:rPr>
          <w:szCs w:val="24"/>
        </w:rPr>
        <w:t>Intervju se provodi samo s kandidatima koji su ostvarili najmanje 50% bodova na pisanom testiranju. Rezultati intervjua boduju se na isti način kao i pisano testiranje.</w:t>
      </w:r>
    </w:p>
    <w:p w:rsidR="006D2C4F" w:rsidRDefault="006D2C4F" w:rsidP="006D2C4F">
      <w:pPr>
        <w:jc w:val="both"/>
        <w:rPr>
          <w:szCs w:val="24"/>
        </w:rPr>
      </w:pPr>
      <w:r>
        <w:rPr>
          <w:szCs w:val="24"/>
        </w:rPr>
        <w:t>Kandidati koji su pristupili  testiranju imaju pravo uvida u rezultate provedenog postupka.</w:t>
      </w:r>
    </w:p>
    <w:p w:rsidR="006D2C4F" w:rsidRDefault="006D2C4F" w:rsidP="006D2C4F">
      <w:pPr>
        <w:jc w:val="both"/>
        <w:rPr>
          <w:szCs w:val="24"/>
        </w:rPr>
      </w:pPr>
      <w:r>
        <w:rPr>
          <w:szCs w:val="24"/>
        </w:rPr>
        <w:t xml:space="preserve">Nakon prethodne provjere znanja i sposobnosti  Povjerenstvo  utvrđuje rang listu kandidata prema ukupnom broju ostvarenih bodova. </w:t>
      </w:r>
    </w:p>
    <w:p w:rsidR="006D2C4F" w:rsidRDefault="006D2C4F" w:rsidP="006D2C4F">
      <w:pPr>
        <w:jc w:val="both"/>
        <w:rPr>
          <w:szCs w:val="24"/>
        </w:rPr>
      </w:pPr>
      <w:r>
        <w:rPr>
          <w:szCs w:val="24"/>
        </w:rPr>
        <w:t>Izabrani kandidat mora dostaviti uvjerenje o zdravstvenoj sposobnosti po primitku rješenja o prijmu u službu.</w:t>
      </w:r>
    </w:p>
    <w:p w:rsidR="006D2C4F" w:rsidRDefault="006D2C4F" w:rsidP="006D2C4F">
      <w:pPr>
        <w:jc w:val="both"/>
        <w:rPr>
          <w:szCs w:val="24"/>
        </w:rPr>
      </w:pPr>
      <w:r>
        <w:rPr>
          <w:szCs w:val="24"/>
        </w:rPr>
        <w:t>Vrijeme održavanja prethodne provjere znanja i sposobnosti kandidata bit će objavljeno na ovoj web stranici te na oglasnoj ploči Varaždinske županije, najkasnije pet dana prije održavanja provjere.</w:t>
      </w:r>
    </w:p>
    <w:p w:rsidR="006D2C4F" w:rsidRDefault="006D2C4F" w:rsidP="006D2C4F">
      <w:pPr>
        <w:jc w:val="both"/>
        <w:rPr>
          <w:szCs w:val="24"/>
        </w:rPr>
      </w:pPr>
      <w:r>
        <w:rPr>
          <w:szCs w:val="24"/>
        </w:rPr>
        <w:t xml:space="preserve"> </w:t>
      </w:r>
    </w:p>
    <w:p w:rsidR="006D2C4F" w:rsidRDefault="006D2C4F" w:rsidP="006D2C4F"/>
    <w:p w:rsidR="006D2C4F" w:rsidRDefault="006D2C4F" w:rsidP="006D2C4F">
      <w:r>
        <w:t xml:space="preserve">                                                                                                     VARAŽDINSKA ŽUPANIJA</w:t>
      </w:r>
    </w:p>
    <w:p w:rsidR="006D2C4F" w:rsidRPr="00DC0E60" w:rsidRDefault="006D2C4F" w:rsidP="006D2C4F">
      <w:pPr>
        <w:rPr>
          <w:b/>
          <w:szCs w:val="24"/>
          <w:u w:val="single"/>
        </w:rPr>
      </w:pPr>
    </w:p>
    <w:p w:rsidR="006D2C4F" w:rsidRDefault="006D2C4F" w:rsidP="006D2C4F"/>
    <w:p w:rsidR="006D2C4F" w:rsidRDefault="006D2C4F" w:rsidP="006D2C4F"/>
    <w:p w:rsidR="006D2C4F" w:rsidRDefault="006D2C4F" w:rsidP="006D2C4F"/>
    <w:p w:rsidR="006D2C4F" w:rsidRDefault="006D2C4F" w:rsidP="006D2C4F"/>
    <w:p w:rsidR="006D2C4F" w:rsidRDefault="006D2C4F" w:rsidP="006D2C4F"/>
    <w:p w:rsidR="00C15E92" w:rsidRDefault="00C15E92">
      <w:bookmarkStart w:id="0" w:name="_GoBack"/>
      <w:bookmarkEnd w:id="0"/>
    </w:p>
    <w:sectPr w:rsidR="00C15E92" w:rsidSect="006F2C20">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Century_Schoolbk-Normal">
    <w:altName w:val="Times New Roman"/>
    <w:charset w:val="00"/>
    <w:family w:val="auto"/>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35605666"/>
    <w:multiLevelType w:val="hybridMultilevel"/>
    <w:tmpl w:val="FCC83B3A"/>
    <w:lvl w:ilvl="0" w:tplc="B05C67C2">
      <w:numFmt w:val="bullet"/>
      <w:lvlText w:val=""/>
      <w:lvlJc w:val="left"/>
      <w:pPr>
        <w:ind w:left="720" w:hanging="360"/>
      </w:pPr>
      <w:rPr>
        <w:rFonts w:ascii="Symbol" w:eastAsia="Times New Roman" w:hAnsi="Symbol" w:hint="default"/>
        <w:sz w:val="2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 w15:restartNumberingAfterBreak="0">
    <w:nsid w:val="36F10AD1"/>
    <w:multiLevelType w:val="hybridMultilevel"/>
    <w:tmpl w:val="306AB750"/>
    <w:lvl w:ilvl="0" w:tplc="2CF2B060">
      <w:start w:val="1"/>
      <w:numFmt w:val="bullet"/>
      <w:lvlText w:val=""/>
      <w:lvlJc w:val="left"/>
      <w:pPr>
        <w:ind w:left="1080" w:hanging="360"/>
      </w:pPr>
      <w:rPr>
        <w:rFonts w:ascii="Symbol" w:hAnsi="Symbol" w:hint="default"/>
        <w:sz w:val="2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3" w15:restartNumberingAfterBreak="0">
    <w:nsid w:val="596A0BA1"/>
    <w:multiLevelType w:val="hybridMultilevel"/>
    <w:tmpl w:val="86B68452"/>
    <w:lvl w:ilvl="0" w:tplc="74009FBA">
      <w:start w:val="2"/>
      <w:numFmt w:val="bullet"/>
      <w:lvlText w:val="-"/>
      <w:lvlJc w:val="left"/>
      <w:pPr>
        <w:tabs>
          <w:tab w:val="num" w:pos="644"/>
        </w:tabs>
        <w:ind w:left="644" w:hanging="360"/>
      </w:pPr>
      <w:rPr>
        <w:rFonts w:ascii="Times New Roman" w:eastAsia="Times New Roman" w:hAnsi="Times New Roman" w:hint="default"/>
      </w:rPr>
    </w:lvl>
    <w:lvl w:ilvl="1" w:tplc="041A0003">
      <w:start w:val="1"/>
      <w:numFmt w:val="decimal"/>
      <w:lvlText w:val="%2."/>
      <w:lvlJc w:val="left"/>
      <w:pPr>
        <w:tabs>
          <w:tab w:val="num" w:pos="1724"/>
        </w:tabs>
        <w:ind w:left="1724" w:hanging="360"/>
      </w:pPr>
      <w:rPr>
        <w:rFonts w:cs="Times New Roman"/>
      </w:rPr>
    </w:lvl>
    <w:lvl w:ilvl="2" w:tplc="041A0005">
      <w:start w:val="1"/>
      <w:numFmt w:val="decimal"/>
      <w:lvlText w:val="%3."/>
      <w:lvlJc w:val="left"/>
      <w:pPr>
        <w:tabs>
          <w:tab w:val="num" w:pos="2444"/>
        </w:tabs>
        <w:ind w:left="2444" w:hanging="360"/>
      </w:pPr>
      <w:rPr>
        <w:rFonts w:cs="Times New Roman"/>
      </w:rPr>
    </w:lvl>
    <w:lvl w:ilvl="3" w:tplc="041A0001">
      <w:start w:val="1"/>
      <w:numFmt w:val="decimal"/>
      <w:lvlText w:val="%4."/>
      <w:lvlJc w:val="left"/>
      <w:pPr>
        <w:tabs>
          <w:tab w:val="num" w:pos="3164"/>
        </w:tabs>
        <w:ind w:left="3164" w:hanging="360"/>
      </w:pPr>
      <w:rPr>
        <w:rFonts w:cs="Times New Roman"/>
      </w:rPr>
    </w:lvl>
    <w:lvl w:ilvl="4" w:tplc="041A0003">
      <w:start w:val="1"/>
      <w:numFmt w:val="decimal"/>
      <w:lvlText w:val="%5."/>
      <w:lvlJc w:val="left"/>
      <w:pPr>
        <w:tabs>
          <w:tab w:val="num" w:pos="3884"/>
        </w:tabs>
        <w:ind w:left="3884" w:hanging="360"/>
      </w:pPr>
      <w:rPr>
        <w:rFonts w:cs="Times New Roman"/>
      </w:rPr>
    </w:lvl>
    <w:lvl w:ilvl="5" w:tplc="041A0005">
      <w:start w:val="1"/>
      <w:numFmt w:val="decimal"/>
      <w:lvlText w:val="%6."/>
      <w:lvlJc w:val="left"/>
      <w:pPr>
        <w:tabs>
          <w:tab w:val="num" w:pos="4604"/>
        </w:tabs>
        <w:ind w:left="4604" w:hanging="360"/>
      </w:pPr>
      <w:rPr>
        <w:rFonts w:cs="Times New Roman"/>
      </w:rPr>
    </w:lvl>
    <w:lvl w:ilvl="6" w:tplc="041A0001">
      <w:start w:val="1"/>
      <w:numFmt w:val="decimal"/>
      <w:lvlText w:val="%7."/>
      <w:lvlJc w:val="left"/>
      <w:pPr>
        <w:tabs>
          <w:tab w:val="num" w:pos="5324"/>
        </w:tabs>
        <w:ind w:left="5324" w:hanging="360"/>
      </w:pPr>
      <w:rPr>
        <w:rFonts w:cs="Times New Roman"/>
      </w:rPr>
    </w:lvl>
    <w:lvl w:ilvl="7" w:tplc="041A0003">
      <w:start w:val="1"/>
      <w:numFmt w:val="decimal"/>
      <w:lvlText w:val="%8."/>
      <w:lvlJc w:val="left"/>
      <w:pPr>
        <w:tabs>
          <w:tab w:val="num" w:pos="6044"/>
        </w:tabs>
        <w:ind w:left="6044" w:hanging="360"/>
      </w:pPr>
      <w:rPr>
        <w:rFonts w:cs="Times New Roman"/>
      </w:rPr>
    </w:lvl>
    <w:lvl w:ilvl="8" w:tplc="041A0005">
      <w:start w:val="1"/>
      <w:numFmt w:val="decimal"/>
      <w:lvlText w:val="%9."/>
      <w:lvlJc w:val="left"/>
      <w:pPr>
        <w:tabs>
          <w:tab w:val="num" w:pos="6764"/>
        </w:tabs>
        <w:ind w:left="6764" w:hanging="360"/>
      </w:pPr>
      <w:rPr>
        <w:rFonts w:cs="Times New Roman"/>
      </w:rPr>
    </w:lvl>
  </w:abstractNum>
  <w:abstractNum w:abstractNumId="4" w15:restartNumberingAfterBreak="0">
    <w:nsid w:val="5BD54ACC"/>
    <w:multiLevelType w:val="hybridMultilevel"/>
    <w:tmpl w:val="1958A9B6"/>
    <w:lvl w:ilvl="0" w:tplc="4C969D1E">
      <w:start w:val="3"/>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4F"/>
    <w:rsid w:val="000640BA"/>
    <w:rsid w:val="00183795"/>
    <w:rsid w:val="006D2C4F"/>
    <w:rsid w:val="006F2C20"/>
    <w:rsid w:val="008116B0"/>
    <w:rsid w:val="00AD7BE0"/>
    <w:rsid w:val="00BB378C"/>
    <w:rsid w:val="00C15E92"/>
    <w:rsid w:val="00F97B9A"/>
    <w:rsid w:val="00FC5C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F10B"/>
  <w15:docId w15:val="{07B06E1D-B3F2-4568-B881-6DCB1E3F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C4F"/>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D2C4F"/>
    <w:rPr>
      <w:color w:val="0000FF" w:themeColor="hyperlink"/>
      <w:u w:val="single"/>
    </w:rPr>
  </w:style>
  <w:style w:type="paragraph" w:styleId="Odlomakpopisa">
    <w:name w:val="List Paragraph"/>
    <w:basedOn w:val="Normal"/>
    <w:uiPriority w:val="34"/>
    <w:qFormat/>
    <w:rsid w:val="006D2C4F"/>
    <w:pPr>
      <w:ind w:left="720"/>
      <w:contextualSpacing/>
    </w:pPr>
    <w:rPr>
      <w:szCs w:val="24"/>
    </w:rPr>
  </w:style>
  <w:style w:type="paragraph" w:styleId="Tekstbalonia">
    <w:name w:val="Balloon Text"/>
    <w:basedOn w:val="Normal"/>
    <w:link w:val="TekstbaloniaChar"/>
    <w:uiPriority w:val="99"/>
    <w:semiHidden/>
    <w:unhideWhenUsed/>
    <w:rsid w:val="006D2C4F"/>
    <w:rPr>
      <w:rFonts w:ascii="Tahoma" w:hAnsi="Tahoma" w:cs="Tahoma"/>
      <w:sz w:val="16"/>
      <w:szCs w:val="16"/>
    </w:rPr>
  </w:style>
  <w:style w:type="character" w:customStyle="1" w:styleId="TekstbaloniaChar">
    <w:name w:val="Tekst balončića Char"/>
    <w:basedOn w:val="Zadanifontodlomka"/>
    <w:link w:val="Tekstbalonia"/>
    <w:uiPriority w:val="99"/>
    <w:semiHidden/>
    <w:rsid w:val="006D2C4F"/>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rukturnifondovi.hr/eu-fondovi/eu-fondovi-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oporavka.gov.hr/dokumenti-113/11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3</Pages>
  <Words>1056</Words>
  <Characters>6025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Romina Golub</dc:creator>
  <cp:lastModifiedBy>Natalija Meštrić</cp:lastModifiedBy>
  <cp:revision>6</cp:revision>
  <cp:lastPrinted>2021-12-29T11:50:00Z</cp:lastPrinted>
  <dcterms:created xsi:type="dcterms:W3CDTF">2021-12-23T06:14:00Z</dcterms:created>
  <dcterms:modified xsi:type="dcterms:W3CDTF">2021-12-29T13:43:00Z</dcterms:modified>
</cp:coreProperties>
</file>