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88E0" w14:textId="4AFFE4D4" w:rsidR="00103CB3" w:rsidRDefault="00C82295" w:rsidP="00C82295">
      <w:pPr>
        <w:jc w:val="center"/>
      </w:pPr>
      <w:r>
        <w:t>Prilog</w:t>
      </w:r>
      <w:r w:rsidR="0055638F">
        <w:t xml:space="preserve"> 3</w:t>
      </w:r>
      <w:r>
        <w:t xml:space="preserve">: </w:t>
      </w:r>
      <w:r w:rsidRPr="00C82295">
        <w:t>Tehnička specifikacija za automatski vanjski defibrilator (AVD)</w:t>
      </w:r>
    </w:p>
    <w:tbl>
      <w:tblPr>
        <w:tblW w:w="9534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65"/>
        <w:gridCol w:w="4437"/>
        <w:gridCol w:w="997"/>
        <w:gridCol w:w="2835"/>
      </w:tblGrid>
      <w:tr w:rsidR="00C82295" w:rsidRPr="00C82295" w14:paraId="71C7F3AB" w14:textId="77777777" w:rsidTr="00C82295">
        <w:trPr>
          <w:trHeight w:val="135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A173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Red. br.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A281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Opis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tehničkih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karakteristika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14C" w14:textId="77777777" w:rsid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Količina</w:t>
            </w:r>
            <w:proofErr w:type="spellEnd"/>
          </w:p>
          <w:p w14:paraId="4406EDA7" w14:textId="29FC002E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proofErr w:type="spellStart"/>
            <w:r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kd</w:t>
            </w:r>
            <w:proofErr w:type="spellEnd"/>
            <w:r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1BF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Ispunjavanje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tehničkih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karakteristika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(DA/NE), s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brojem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stranice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kataloga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kojoj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je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tražena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karakteristika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označena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brojem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iz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prvog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stupca</w:t>
            </w:r>
            <w:proofErr w:type="spellEnd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kern w:val="0"/>
                <w:sz w:val="20"/>
                <w:szCs w:val="20"/>
                <w:lang w:val="en-US"/>
                <w14:ligatures w14:val="none"/>
              </w:rPr>
              <w:t>specifikacije</w:t>
            </w:r>
            <w:proofErr w:type="spellEnd"/>
          </w:p>
        </w:tc>
      </w:tr>
      <w:tr w:rsidR="00C82295" w:rsidRPr="00C82295" w14:paraId="726AA6DF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DEB" w14:textId="77777777" w:rsidR="00C82295" w:rsidRPr="00C82295" w:rsidRDefault="00C82295" w:rsidP="00C82295">
            <w:pPr>
              <w:spacing w:after="0" w:line="240" w:lineRule="auto"/>
              <w:ind w:firstLine="37"/>
              <w:jc w:val="center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2184" w14:textId="77777777" w:rsidR="00C82295" w:rsidRPr="00C82295" w:rsidRDefault="00C82295" w:rsidP="00C82295">
            <w:pPr>
              <w:spacing w:after="200" w:line="276" w:lineRule="auto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AUTOMATSKI VANJSKI DEFIBRILATOR (AVD)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A4B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41B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1208D463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BC4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0054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Bifazni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</w:t>
            </w:r>
            <w:proofErr w:type="spellEnd"/>
          </w:p>
          <w:p w14:paraId="08998437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471EDED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C90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04F53A3D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5CB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1.2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D6C0" w14:textId="5C393002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Analizira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ritam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prepoznaje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ventrikulsku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fibrilaciju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sam se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puni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predprogramiranu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energiju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53521F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F50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4AE4B462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879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1.3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3B35" w14:textId="18F3B49D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Uređaj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daje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glasovne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tekstualne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upute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provjeru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svijesti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disanja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oslobađanje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dišnog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puta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FB2BEE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4D5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7EE98EDA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7BF" w14:textId="77777777" w:rsidR="00C82295" w:rsidRPr="00C82295" w:rsidRDefault="00C82295" w:rsidP="00C82295">
            <w:pPr>
              <w:spacing w:after="0" w:line="240" w:lineRule="auto"/>
              <w:ind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             1.4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638C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Maksimalna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energija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: 200J 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56AF7E7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779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36AAABC8" w14:textId="77777777" w:rsidTr="00C82295">
        <w:trPr>
          <w:trHeight w:val="59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F7D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1.5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B6A3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Eskaliranje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energije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do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maksimalnog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nivoa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minimalno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tri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stupnja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B175817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221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421BD748" w14:textId="77777777" w:rsidTr="00C82295">
        <w:trPr>
          <w:trHeight w:val="549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1CB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1.6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426" w14:textId="5864B67D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Mjerenje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dubine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frekvencije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ručne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masaže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srca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integrirano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776BE3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DDB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29873D22" w14:textId="77777777" w:rsidTr="00C82295">
        <w:trPr>
          <w:trHeight w:val="57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E23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1.7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4B68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vrijeme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masaže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srca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uređaj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daje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povratne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glasovne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upute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o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kvaliteti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masaže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srca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potrebnoj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korekciji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dubine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kompresije</w:t>
            </w:r>
            <w:proofErr w:type="spellEnd"/>
          </w:p>
          <w:p w14:paraId="3958B4B1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B18B0F6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BDC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0DBAB2D3" w14:textId="77777777" w:rsidTr="00C82295">
        <w:trPr>
          <w:trHeight w:val="36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C65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1.8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1249" w14:textId="2AB9AFE1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Ugrađen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metronom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daje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ritam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masažu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srca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smjernicama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ERC-</w:t>
            </w:r>
            <w:proofErr w:type="gram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</w:t>
            </w:r>
            <w:proofErr w:type="gram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2021.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godine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8F4838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40B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2D3E93B4" w14:textId="77777777" w:rsidTr="00C82295">
        <w:trPr>
          <w:trHeight w:val="39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0A0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1.9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B138" w14:textId="309D15BE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nl-NL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nl-NL"/>
                <w14:ligatures w14:val="none"/>
              </w:rPr>
              <w:t xml:space="preserve">LCD ekran s mogućnošću prikaza jednog kanala EKG-a, dijagonale minimalno 7 cm 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453BC7D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6B9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323248F4" w14:textId="77777777" w:rsidTr="00C82295">
        <w:trPr>
          <w:trHeight w:val="34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AD4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1.10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2353" w14:textId="1557ED0C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nl-NL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nl-NL"/>
                <w14:ligatures w14:val="none"/>
              </w:rPr>
              <w:t>Glasovne i tekstualne upute tijekom reanimacije na hrvatskom jeziku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038F85F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0D1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634738FD" w14:textId="77777777" w:rsidTr="00C82295">
        <w:trPr>
          <w:trHeight w:val="611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91D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1.11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FA86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nl-NL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nl-NL"/>
                <w14:ligatures w14:val="none"/>
              </w:rPr>
              <w:t>Samoljepive jednokratne defibrilacijske elektrode s ugrađenim senzorom za mjerenje dubine i frekvencije masaže srca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6DCAA1D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6A9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560CAA84" w14:textId="77777777" w:rsidTr="00C82295">
        <w:trPr>
          <w:trHeight w:val="373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992" w14:textId="77777777" w:rsidR="00C82295" w:rsidRPr="00C82295" w:rsidRDefault="00C82295" w:rsidP="00C82295">
            <w:pPr>
              <w:spacing w:after="0" w:line="240" w:lineRule="auto"/>
              <w:ind w:left="720" w:hanging="683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1.12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B71C" w14:textId="692DA2B9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nl-NL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nl-NL"/>
                <w14:ligatures w14:val="none"/>
              </w:rPr>
              <w:t xml:space="preserve">Napajanje: </w:t>
            </w:r>
            <w:bookmarkStart w:id="0" w:name="_Hlk952510"/>
            <w:r w:rsidRPr="00C82295">
              <w:rPr>
                <w:rFonts w:eastAsia="Calibri" w:cs="Arial"/>
                <w:kern w:val="0"/>
                <w:lang w:val="nl-NL"/>
                <w14:ligatures w14:val="none"/>
              </w:rPr>
              <w:t xml:space="preserve">set od minimalno 6 jednokratnih, individiualno izmjenjivih baterija </w:t>
            </w:r>
            <w:bookmarkEnd w:id="0"/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3AA770D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0B4F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55F4025F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B78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1.13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8B8E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Arhiviranje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podataka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o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učinjenoj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reanimaciji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povezivanje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računalom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pohranjivanje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arhiviranih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podataka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računalu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Programski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paket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instalaciju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računalo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je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potreban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prihvat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podataka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mora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biti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uključen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cijenu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dostupan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uz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svaki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.</w:t>
            </w:r>
          </w:p>
          <w:p w14:paraId="37557BB6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77C6A3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D08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62E800F2" w14:textId="77777777" w:rsidTr="00C82295">
        <w:trPr>
          <w:trHeight w:val="357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7E2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75C3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Uređaj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vrši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samotestiranje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(bez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ručnog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uključivanja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)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odabranim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vremenskim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intervalima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signalizira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zvučno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vizualno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ukoliko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spreman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uporabu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zbog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istrošenosti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baterija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ili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druge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neispravnosti</w:t>
            </w:r>
            <w:proofErr w:type="spellEnd"/>
          </w:p>
          <w:p w14:paraId="44717735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6FD07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80A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2E91DC63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188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1.15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24A5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Indikator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označava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stanje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kojem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spreman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uporabu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je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aktivan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kada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baterije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potpuno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prazne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ili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ih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nema</w:t>
            </w:r>
            <w:proofErr w:type="spellEnd"/>
          </w:p>
          <w:p w14:paraId="518099B1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D950DA4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D75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0A0341D9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79C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1.16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06BF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prepoznaje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pedijatrijske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elektrode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mijenja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protokol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energija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pedijatrijsku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reanimaciju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bez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dodatnog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postupanja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korisnika</w:t>
            </w:r>
            <w:proofErr w:type="spellEnd"/>
          </w:p>
          <w:p w14:paraId="5160CDBD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C1AB59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715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07ABF0E9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E6EB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1.17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AFA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14:ligatures w14:val="none"/>
              </w:rPr>
              <w:t xml:space="preserve">Pribor uključen uz uređaj: pripadajuća torba za smještaj i zaštitu uređaja, 1 par </w:t>
            </w:r>
            <w:proofErr w:type="spellStart"/>
            <w:r w:rsidRPr="00C82295">
              <w:rPr>
                <w:rFonts w:eastAsia="Calibri" w:cs="Arial"/>
                <w:kern w:val="0"/>
                <w14:ligatures w14:val="none"/>
              </w:rPr>
              <w:t>defibrilacijskih</w:t>
            </w:r>
            <w:proofErr w:type="spellEnd"/>
            <w:r w:rsidRPr="00C82295">
              <w:rPr>
                <w:rFonts w:eastAsia="Calibri" w:cs="Arial"/>
                <w:kern w:val="0"/>
                <w14:ligatures w14:val="none"/>
              </w:rPr>
              <w:t xml:space="preserve"> elektroda za odrasle, set baterija potreban za napajanje, uputstva na hrvatskom jeziku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548F35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DCA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4C55C6B6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E4D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1.18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3101" w14:textId="01C1B818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  <w:r w:rsidRPr="00C82295">
              <w:rPr>
                <w:rFonts w:eastAsia="Calibri" w:cs="Arial"/>
                <w:kern w:val="0"/>
                <w14:ligatures w14:val="none"/>
              </w:rPr>
              <w:t>Uređaj otporan na vibracije prema standardu MIL-STD-810F</w:t>
            </w:r>
            <w:r>
              <w:rPr>
                <w:rFonts w:eastAsia="Calibri" w:cs="Arial"/>
                <w:kern w:val="0"/>
                <w14:ligatures w14:val="none"/>
              </w:rPr>
              <w:t xml:space="preserve"> ili jednakovrijedan _____________________________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F5A9E99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602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1F9FE894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F80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1.19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7AA2" w14:textId="7A9E190E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  <w:r w:rsidRPr="00C82295">
              <w:rPr>
                <w:rFonts w:eastAsia="Calibri" w:cs="Arial"/>
                <w:kern w:val="0"/>
                <w14:ligatures w14:val="none"/>
              </w:rPr>
              <w:t>Uređaj otporan na vodu i prašinu prema standardu IP55</w:t>
            </w:r>
            <w:r>
              <w:rPr>
                <w:rFonts w:eastAsia="Calibri" w:cs="Arial"/>
                <w:kern w:val="0"/>
                <w14:ligatures w14:val="none"/>
              </w:rPr>
              <w:t xml:space="preserve"> ili jednakovrijedan _______________________________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7FF8E56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241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31C7B875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3BBF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1.20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0141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  <w:r w:rsidRPr="00C82295">
              <w:rPr>
                <w:rFonts w:eastAsia="Calibri" w:cs="Arial"/>
                <w:kern w:val="0"/>
                <w14:ligatures w14:val="none"/>
              </w:rPr>
              <w:t>Garancija za uređaj minimalno 5 godina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13DF8C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BE6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1D71BFA1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5FC394C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482EEC74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4B3201CB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</w:tcPr>
          <w:p w14:paraId="587BB8EA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0A1576ED" w14:textId="77777777" w:rsidTr="00C82295">
        <w:trPr>
          <w:trHeight w:val="402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611" w14:textId="77777777" w:rsidR="00C82295" w:rsidRPr="00C82295" w:rsidRDefault="00C82295" w:rsidP="00C82295">
            <w:pPr>
              <w:spacing w:after="0" w:line="240" w:lineRule="auto"/>
              <w:ind w:firstLine="37"/>
              <w:jc w:val="center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F4F5" w14:textId="77777777" w:rsidR="00C82295" w:rsidRPr="00C82295" w:rsidRDefault="00C82295" w:rsidP="00C82295">
            <w:pPr>
              <w:spacing w:after="200" w:line="276" w:lineRule="auto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ORMARIĆ ZA AUTOMATSKI VANJSKI DEFIBRILATOR (AVD)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A91920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b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FD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29DD83A5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468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2.1.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A077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postavljanje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zid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omogućuje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smještaj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rezervnih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elektroda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75EAA5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7B1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4EDF0DF4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B76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2.2.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8263" w14:textId="77777777" w:rsidR="00C82295" w:rsidRPr="00C82295" w:rsidRDefault="00C82295" w:rsidP="00C82295">
            <w:pPr>
              <w:spacing w:after="200" w:line="276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Dimenzije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:</w:t>
            </w:r>
          </w:p>
          <w:p w14:paraId="585AE59B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Širina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: 380 – 390 mm</w:t>
            </w:r>
          </w:p>
          <w:p w14:paraId="32275CC0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Dubina: 200 – 210 mm</w:t>
            </w:r>
          </w:p>
          <w:p w14:paraId="2B1E0BBE" w14:textId="77777777" w:rsidR="00C82295" w:rsidRPr="00C82295" w:rsidRDefault="00C82295" w:rsidP="00C82295">
            <w:pPr>
              <w:spacing w:after="0" w:line="240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Visina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: 420 – 430 mm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AB53145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536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320512C9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4B6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2.3.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199D" w14:textId="77777777" w:rsidR="00C82295" w:rsidRPr="00C82295" w:rsidRDefault="00C82295" w:rsidP="00C82295">
            <w:pPr>
              <w:spacing w:after="200" w:line="276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Materijal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izrade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:</w:t>
            </w:r>
          </w:p>
          <w:p w14:paraId="1AC95A4E" w14:textId="4ACCE26F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Kućište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: ABS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materijal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sukladan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ISO 3864</w:t>
            </w:r>
            <w:r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Arial"/>
                <w:kern w:val="0"/>
                <w:lang w:val="en-US"/>
                <w14:ligatures w14:val="none"/>
              </w:rPr>
              <w:t>ili</w:t>
            </w:r>
            <w:proofErr w:type="spellEnd"/>
            <w:r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Calibri" w:cs="Arial"/>
                <w:kern w:val="0"/>
                <w:lang w:val="en-US"/>
                <w14:ligatures w14:val="none"/>
              </w:rPr>
              <w:t>jednakovrijedan</w:t>
            </w:r>
            <w:proofErr w:type="spellEnd"/>
            <w:r>
              <w:rPr>
                <w:rFonts w:eastAsia="Calibri" w:cs="Arial"/>
                <w:kern w:val="0"/>
                <w:lang w:val="en-US"/>
                <w14:ligatures w14:val="none"/>
              </w:rPr>
              <w:t xml:space="preserve"> _______________________</w:t>
            </w:r>
          </w:p>
          <w:p w14:paraId="399A13A4" w14:textId="77777777" w:rsidR="00C82295" w:rsidRPr="00C82295" w:rsidRDefault="00C82295" w:rsidP="00C82295">
            <w:pPr>
              <w:spacing w:after="0" w:line="240" w:lineRule="auto"/>
              <w:rPr>
                <w:rFonts w:eastAsia="Calibri" w:cs="Times New Roman"/>
                <w:kern w:val="0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Poklopac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: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Polikarbonat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 UV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zaštitom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prozirni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6F041FC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E5C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2D23F41A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7D0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2.4.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5248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ugrađen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telefonski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modul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omogućuje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direktan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poziv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unaprijed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lastRenderedPageBreak/>
              <w:t>programiranom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broju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korištenjem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GSM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mreže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način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da se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poziv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uspostavlja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otvaranjem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vrata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ili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pritiskom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tipku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ormariću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14E6515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0B2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  <w:tr w:rsidR="00C82295" w:rsidRPr="00C82295" w14:paraId="5B0EB5D1" w14:textId="77777777" w:rsidTr="00C82295">
        <w:trPr>
          <w:trHeight w:val="4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173" w14:textId="77777777" w:rsidR="00C82295" w:rsidRPr="00C82295" w:rsidRDefault="00C82295" w:rsidP="00C82295">
            <w:pPr>
              <w:spacing w:after="0" w:line="240" w:lineRule="auto"/>
              <w:ind w:left="37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2.5.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97F8" w14:textId="77777777" w:rsidR="00C82295" w:rsidRPr="00C82295" w:rsidRDefault="00C82295" w:rsidP="00C8229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cijenu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uključena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je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montaža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umrežavanje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postojeću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mrežu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ormarića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automatske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defibrilatore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području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Varaždinske županije.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Povezivanje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 PDJ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Nastavnog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zavoda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hitnu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medicinu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Varaždinske županije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vrši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preko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(GSM)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mreže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način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da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isporučitelj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osigurava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trajno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aktivnu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liniju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a da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naručitelj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nema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obavezu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preuzimanja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ugovora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liniju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niti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plaćanja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ikakvih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troškova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vezi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linije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. </w:t>
            </w:r>
          </w:p>
          <w:p w14:paraId="2687F437" w14:textId="77777777" w:rsidR="00C82295" w:rsidRPr="00C82295" w:rsidRDefault="00C82295" w:rsidP="00C8229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Ponuditelj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je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dužan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ponudi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bCs/>
                <w:kern w:val="0"/>
                <w:lang w:val="en-US"/>
                <w14:ligatures w14:val="none"/>
              </w:rPr>
              <w:t>ovjerenom</w:t>
            </w:r>
            <w:proofErr w:type="spellEnd"/>
            <w:r w:rsidRPr="00C82295">
              <w:rPr>
                <w:rFonts w:eastAsia="Calibri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b/>
                <w:bCs/>
                <w:kern w:val="0"/>
                <w:lang w:val="en-US"/>
                <w14:ligatures w14:val="none"/>
              </w:rPr>
              <w:t>izjavom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dokumentirati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način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će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osigurati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zadovoljavanje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ovog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zahtjeva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Izjava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treba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sadržavati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detaljan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opis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iz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kojeg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mora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biti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razvidno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što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sve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ponuditelj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nudi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način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se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tehnički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osigurava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da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će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linija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biti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trajno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aktivna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da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naručitelj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budućnosti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neće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imati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troškova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s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održavanjem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mobilne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telefonske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linije</w:t>
            </w:r>
            <w:proofErr w:type="spellEnd"/>
            <w:r w:rsidRPr="00C82295">
              <w:rPr>
                <w:rFonts w:eastAsia="Calibri" w:cs="Arial"/>
                <w:kern w:val="0"/>
                <w:lang w:val="en-US"/>
                <w14:ligatures w14:val="none"/>
              </w:rPr>
              <w:t>.</w:t>
            </w:r>
          </w:p>
          <w:p w14:paraId="48B0A3D8" w14:textId="77777777" w:rsidR="00C82295" w:rsidRPr="00C82295" w:rsidRDefault="00C82295" w:rsidP="00C82295">
            <w:pPr>
              <w:spacing w:after="0" w:line="240" w:lineRule="auto"/>
              <w:ind w:left="34"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B8A6259" w14:textId="77777777" w:rsidR="00C82295" w:rsidRPr="00C82295" w:rsidRDefault="00C82295" w:rsidP="00C82295">
            <w:pPr>
              <w:spacing w:after="0" w:line="240" w:lineRule="auto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1BF" w14:textId="77777777" w:rsidR="00C82295" w:rsidRPr="00C82295" w:rsidRDefault="00C82295" w:rsidP="00C82295">
            <w:pPr>
              <w:spacing w:after="0" w:line="240" w:lineRule="auto"/>
              <w:jc w:val="center"/>
              <w:rPr>
                <w:rFonts w:eastAsia="Calibri" w:cs="Arial"/>
                <w:kern w:val="0"/>
                <w:lang w:val="en-US"/>
                <w14:ligatures w14:val="none"/>
              </w:rPr>
            </w:pPr>
          </w:p>
        </w:tc>
      </w:tr>
    </w:tbl>
    <w:p w14:paraId="3D2E2CBD" w14:textId="77777777" w:rsidR="00C82295" w:rsidRDefault="00C82295"/>
    <w:p w14:paraId="6FC647FD" w14:textId="77777777" w:rsidR="00C82295" w:rsidRDefault="00C82295" w:rsidP="00C82295">
      <w:pPr>
        <w:ind w:left="4956"/>
        <w:jc w:val="center"/>
      </w:pPr>
    </w:p>
    <w:p w14:paraId="31013B68" w14:textId="77777777" w:rsidR="00C82295" w:rsidRDefault="00C82295" w:rsidP="00C82295">
      <w:pPr>
        <w:ind w:left="4956"/>
        <w:jc w:val="center"/>
      </w:pPr>
      <w:r>
        <w:t>____________________________</w:t>
      </w:r>
    </w:p>
    <w:p w14:paraId="1C8CAED4" w14:textId="654F8B04" w:rsidR="00C82295" w:rsidRDefault="00C82295" w:rsidP="00C82295">
      <w:pPr>
        <w:ind w:left="4956"/>
        <w:jc w:val="center"/>
      </w:pPr>
      <w:r>
        <w:t>/ovjera ponuditelja/</w:t>
      </w:r>
    </w:p>
    <w:sectPr w:rsidR="00C8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5"/>
    <w:rsid w:val="000141D9"/>
    <w:rsid w:val="00103CB3"/>
    <w:rsid w:val="001964DE"/>
    <w:rsid w:val="0055638F"/>
    <w:rsid w:val="005C62D4"/>
    <w:rsid w:val="009E5DD9"/>
    <w:rsid w:val="00C82295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8C9"/>
  <w15:chartTrackingRefBased/>
  <w15:docId w15:val="{EDB8E864-6801-481A-9592-07C46751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22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22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22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22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22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22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22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22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22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22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2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639</Words>
  <Characters>3647</Characters>
  <Application>Microsoft Office Word</Application>
  <DocSecurity>0</DocSecurity>
  <Lines>30</Lines>
  <Paragraphs>8</Paragraphs>
  <ScaleCrop>false</ScaleCrop>
  <Company>Varazdinska Zupanija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Božić</dc:creator>
  <cp:keywords/>
  <dc:description/>
  <cp:lastModifiedBy>Ljubica Božić</cp:lastModifiedBy>
  <cp:revision>2</cp:revision>
  <dcterms:created xsi:type="dcterms:W3CDTF">2025-03-24T12:02:00Z</dcterms:created>
  <dcterms:modified xsi:type="dcterms:W3CDTF">2025-03-25T09:22:00Z</dcterms:modified>
</cp:coreProperties>
</file>